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FUTURE 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FUTURE ECO PCIE 4.0 NVMe M.2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Ekstremalne prędkości odczytu i zapisu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Niezwykle szybki interfejs PCIe z maksymalną prędkością odczytu rzędu 5000 MB/s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istabilność</w:t>
      </w:r>
    </w:p>
    <w:p>
      <w:pPr>
        <w:spacing w:before="0" w:after="300"/>
      </w:pP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M.2 2280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512GB | 1024GB | 2048GB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5000MB/s | 5000MB/s | 4850MB/s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</w:t>
      </w:r>
      <w:r>
        <w:rPr>
          <w:rFonts w:ascii="calibri" w:hAnsi="calibri" w:eastAsia="calibri" w:cs="calibri"/>
          <w:sz w:val="24"/>
          <w:szCs w:val="24"/>
        </w:rPr>
        <w:t xml:space="preserve"> 2500MB/s | 4600MB/s | 4450MB/s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430K | 880K | 650K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530K | 880K | 550K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1.1W | 1.7W | 2.5W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</w:t>
      </w:r>
      <w:r>
        <w:rPr>
          <w:rFonts w:ascii="calibri" w:hAnsi="calibri" w:eastAsia="calibri" w:cs="calibri"/>
          <w:sz w:val="24"/>
          <w:szCs w:val="24"/>
        </w:rPr>
        <w:t xml:space="preserve"> 900TB | 1800TB | 3600TB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TLC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PCIe Gen 4 x 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2.000.000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7 g</w:t>
      </w:r>
    </w:p>
    <w:p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  <w:b/>
        </w:rPr>
        <w:t xml:space="preserve">warancja:</w:t>
      </w:r>
      <w:r>
        <w:rPr>
          <w:rFonts w:ascii="calibri" w:hAnsi="calibri" w:eastAsia="calibri" w:cs="calibri"/>
          <w:sz w:val="24"/>
          <w:szCs w:val="24"/>
        </w:rPr>
        <w:t xml:space="preserve"> 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2026-02-25T08:14:25+01:00</dcterms:created>
  <dcterms:modified xsi:type="dcterms:W3CDTF">2026-02-25T08:14:25+01:00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